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751" w:rsidRPr="00CB35AF" w:rsidRDefault="001F5751" w:rsidP="00CB35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000000"/>
          <w:sz w:val="26"/>
          <w:szCs w:val="26"/>
        </w:rPr>
      </w:pPr>
      <w:r w:rsidRPr="007B7530">
        <w:rPr>
          <w:rFonts w:ascii="Helvetica" w:hAnsi="Helvetica" w:cs="Helvetica"/>
          <w:b/>
          <w:color w:val="000000"/>
          <w:sz w:val="26"/>
          <w:szCs w:val="26"/>
        </w:rPr>
        <w:t>On Rezoning for Woodbine’s “Memory Care Center”</w:t>
      </w:r>
    </w:p>
    <w:p w:rsidR="00CB35AF" w:rsidRDefault="00CB35AF" w:rsidP="00CB35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000000"/>
          <w:sz w:val="26"/>
          <w:szCs w:val="26"/>
        </w:rPr>
      </w:pPr>
    </w:p>
    <w:p w:rsidR="00CB35AF" w:rsidRPr="00CB35AF" w:rsidRDefault="00CB35AF" w:rsidP="00CB35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000000"/>
          <w:sz w:val="26"/>
          <w:szCs w:val="26"/>
        </w:rPr>
      </w:pPr>
      <w:r w:rsidRPr="00CB35AF">
        <w:rPr>
          <w:rFonts w:ascii="Helvetica" w:hAnsi="Helvetica" w:cs="Helvetica"/>
          <w:color w:val="000000"/>
          <w:sz w:val="26"/>
          <w:szCs w:val="26"/>
        </w:rPr>
        <w:t>By Jack Sullivan</w:t>
      </w:r>
    </w:p>
    <w:p w:rsidR="00CB35AF" w:rsidRDefault="00CB35AF" w:rsidP="00CB35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000000"/>
          <w:sz w:val="26"/>
          <w:szCs w:val="26"/>
        </w:rPr>
      </w:pPr>
    </w:p>
    <w:p w:rsidR="00CB35AF" w:rsidRPr="00CB35AF" w:rsidRDefault="00CB35AF" w:rsidP="00CB35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i/>
          <w:color w:val="000000"/>
          <w:sz w:val="22"/>
          <w:szCs w:val="22"/>
        </w:rPr>
      </w:pPr>
      <w:r w:rsidRPr="00CB35AF">
        <w:rPr>
          <w:rFonts w:ascii="Helvetica" w:hAnsi="Helvetica" w:cs="Helvetica"/>
          <w:i/>
          <w:color w:val="000000"/>
          <w:sz w:val="26"/>
          <w:szCs w:val="26"/>
        </w:rPr>
        <w:t>1 January 2015</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2"/>
          <w:szCs w:val="22"/>
        </w:rPr>
      </w:pPr>
      <w:r>
        <w:rPr>
          <w:rFonts w:ascii="Helvetica" w:hAnsi="Helvetica" w:cs="Helvetica"/>
          <w:b/>
          <w:bCs/>
          <w:color w:val="000000"/>
          <w:sz w:val="22"/>
          <w:szCs w:val="22"/>
        </w:rPr>
        <w:t>The Background</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More than a year ago Atty. Cathy Puskar on behalf of the Woodbine facility and its owner H.E. Adelman, filed a concept plan to construct a facility called the “Alexandria Memory Care Center” on an empty lot that Woodbine owns at 2805 King Street.  The initial concept plan was rejected by the City Planning staff as was a second concept plan.  The third time was a charm and the staff now is prepared to endorse the development of the lot which lies between the Ivy Hill Cemetery and the current Woodbine facility.  </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The parcel is in an area designated by the Master Plan for “institutional use” and has an R-8 residential zoning.  To allow the construction of this commercial building will require a zoning change.  The applicant earlier was asking for rezoning to a commercial designation but, on advice of staff, have scaled back its plans and currently has requested that the R-8/single family zone be rezoned to a RB/townhouse zone.  This zone would allow the density needed.  Moreover, while a nursing home is NOT permitted in an R-8 zone, it would be a permitted use with a special use permit (SUP) in an RB zone.</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Thus two separate actions would have to be taken by the Planning Commission and City Council to approve the proposal.  First, the parcel would have to be rezoned, as requested.  Subsequently a SUP approval would be required allow the nursing home use.  The staff report will be issued in late January and the Planning Commission is expected to take it up at their meeting on February 3.  (Note:  In 2007 or so, the Planning Commission rejected an early attempt to develop the site more densely and decreed that three homes were appropriate, nothing more. But that was a different time and a somewhat different Commission.)</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2"/>
          <w:szCs w:val="22"/>
        </w:rPr>
      </w:pPr>
      <w:r>
        <w:rPr>
          <w:rFonts w:ascii="Helvetica" w:hAnsi="Helvetica" w:cs="Helvetica"/>
          <w:b/>
          <w:bCs/>
          <w:color w:val="000000"/>
          <w:sz w:val="22"/>
          <w:szCs w:val="22"/>
        </w:rPr>
        <w:t>Reaction of Neighbors</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From the outset the neighbors of this proposed commercial development have been adamantly opposed to the project.  They are against any rezoning as “spot zoning” arguing an adverse impact on their neighborhood is almost entirely residential, with churches and the cemetery.   They have put forward a number of arguments against the project, including no real indication of need for such a facility at that location.  They also can point to strong language in the 1992 Master Plan.  The plan says in its initial chapter on land use that its objective is “to insure that new development is compatible with adjacent or nearby residential neighborhoods.”  A major assert in the controlling small area plan is:  “The need to preserve existing neighborhoods in the North Ridge/Rosemont area.”  The neighbors are being supported by the Taylor Run Civic Association and are seeking the support of other Alexandria civic associations, including Seminary Hill Assn. Inc.  The Alexandria Commission on Aging, as might be expected, has endorsed the project.</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2"/>
          <w:szCs w:val="22"/>
        </w:rPr>
      </w:pPr>
      <w:r>
        <w:rPr>
          <w:rFonts w:ascii="Helvetica" w:hAnsi="Helvetica" w:cs="Helvetica"/>
          <w:b/>
          <w:bCs/>
          <w:color w:val="000000"/>
          <w:sz w:val="22"/>
          <w:szCs w:val="22"/>
        </w:rPr>
        <w:lastRenderedPageBreak/>
        <w:t>The Institutional Use Designation</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A key issue here is the interpretation given by the staff to the “Institutional Use” designation. The applicant asserts that “the proposed land use is consistent with this designation.”  The staff is almost certainly going to make the same assertion because if they had decided otherwise, the project — according to their own admission to me — probably could not be given the “green light.”</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Some history needs be explained here.  In 1992 when the Master Plan was devised by a citizen group on which Seminary Hill was represented, the then Planning Director took note of the considerable amount of land in Alexandria, some 867.8 acres amounting to 10.3% of the total, that held such institutions as schools, churches, hospitals, cemeteries, etc., (not parks) as contrasted with residences and commercial properties.   That Planning Director also wanted to create an “institutional zone” to correlate with the use designation.  Seminary Hill has 349.5 acres of land that in the Master Plan are designated as in “institutional use.”  That is 30.3% of institutional land in the city.  Such a zone was seen as highly problematic for our neighborhood since it might more be easily rezoned.  With Dick Hobson taking the lead, Seminary Hill told the Planning Director that if he proceeded, our Association would oppose the entire plan.  The zoning idea was dropped. All the institutional land in Seminary Hill subsequently was zoned residential, including </w:t>
      </w:r>
      <w:proofErr w:type="spellStart"/>
      <w:r>
        <w:rPr>
          <w:rFonts w:ascii="Helvetica" w:hAnsi="Helvetica" w:cs="Helvetica"/>
          <w:color w:val="000000"/>
          <w:sz w:val="22"/>
          <w:szCs w:val="22"/>
        </w:rPr>
        <w:t>Inova</w:t>
      </w:r>
      <w:proofErr w:type="spellEnd"/>
      <w:r>
        <w:rPr>
          <w:rFonts w:ascii="Helvetica" w:hAnsi="Helvetica" w:cs="Helvetica"/>
          <w:color w:val="000000"/>
          <w:sz w:val="22"/>
          <w:szCs w:val="22"/>
        </w:rPr>
        <w:t xml:space="preserve"> Hospital, the Seminary and the three Episcopal schools. </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As a result the municipal codes contain an “institutional use” but no institutional zone.  Moreover, there is not a single provision in either the 1992 Master Plan document or in the Alexandria Municipal Zoning Code that exactly defines what kind of use meets that designation.  Scattered through the plan are indications that it was to encompass schools, hospitals, churches, and some governmental uses.  Nursing homes are NOWHERE mentioned as an appropriate use, although on the North Ridge/Rosemont use map, Woodbine was included with Ivy Hill, the parcel in question, and a church.  Woodbine is the ONLY nursing home shown as an institutional use on the planning map.  A check of the Goodwin House, Washington House, and the Hermitage (then Methodist Home) use and zoning indicates they were strictly considered as “residential” in character, although all three, unlike Woodbine, are not-for-profit.  The for-profit Sunrise on Duke Street stands on commercial ground. (By the way, the planning staff says that Virginia law prevents them from making any distinction between “for-profit” and “not-for-profit” entities in these determinations.)</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2"/>
          <w:szCs w:val="22"/>
        </w:rPr>
      </w:pPr>
      <w:r>
        <w:rPr>
          <w:rFonts w:ascii="Helvetica" w:hAnsi="Helvetica" w:cs="Helvetica"/>
          <w:b/>
          <w:bCs/>
          <w:color w:val="000000"/>
          <w:sz w:val="22"/>
          <w:szCs w:val="22"/>
        </w:rPr>
        <w:t>Conclusion:</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A review of the 1992 Master Plan indicates that there was no clear intent to include “nursing homes” as a class within the “institutional use” designation.  Given the lack of a definition in the Alexandria codes, any decision by staff might be challenged as “arbitrary and capricious.”  Nor can I find any precedent where a parcel designated “institutional” with underlying single family zoning has been rezoned to an RB or other higher density zone.  </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7B7530"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Given a sizable amount of land that is in institutional use in Seminary Hill, if the staff decision stands, the decision would swing open a wide door to allow rezoning in our neighborhood.  The precedent created would encourage such </w:t>
      </w:r>
      <w:r w:rsidR="00CB35AF">
        <w:rPr>
          <w:rFonts w:ascii="Helvetica" w:hAnsi="Helvetica" w:cs="Helvetica"/>
          <w:color w:val="000000"/>
          <w:sz w:val="22"/>
          <w:szCs w:val="22"/>
        </w:rPr>
        <w:t>rezoning</w:t>
      </w:r>
      <w:r>
        <w:rPr>
          <w:rFonts w:ascii="Helvetica" w:hAnsi="Helvetica" w:cs="Helvetica"/>
          <w:color w:val="000000"/>
          <w:sz w:val="22"/>
          <w:szCs w:val="22"/>
        </w:rPr>
        <w:t xml:space="preserve"> on institutional parcels and through SUPs not only uses such as nursing homes but, under the code, could include roomin</w:t>
      </w:r>
      <w:r w:rsidR="007B7530">
        <w:rPr>
          <w:rFonts w:ascii="Helvetica" w:hAnsi="Helvetica" w:cs="Helvetica"/>
          <w:color w:val="000000"/>
          <w:sz w:val="22"/>
          <w:szCs w:val="22"/>
        </w:rPr>
        <w:t xml:space="preserve">g houses, day care centers and </w:t>
      </w:r>
      <w:r>
        <w:rPr>
          <w:rFonts w:ascii="Helvetica" w:hAnsi="Helvetica" w:cs="Helvetica"/>
          <w:color w:val="000000"/>
          <w:sz w:val="22"/>
          <w:szCs w:val="22"/>
        </w:rPr>
        <w:t xml:space="preserve">home occupations that are defined </w:t>
      </w:r>
      <w:r>
        <w:rPr>
          <w:rFonts w:ascii="Helvetica" w:hAnsi="Helvetica" w:cs="Helvetica"/>
          <w:color w:val="000000"/>
          <w:sz w:val="22"/>
          <w:szCs w:val="22"/>
        </w:rPr>
        <w:lastRenderedPageBreak/>
        <w:t>as including:</w:t>
      </w:r>
    </w:p>
    <w:p w:rsidR="007B7530" w:rsidRDefault="007B7530"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7B7530" w:rsidRDefault="007B7530" w:rsidP="007B753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  R</w:t>
      </w:r>
      <w:r w:rsidR="001F5751" w:rsidRPr="007B7530">
        <w:rPr>
          <w:rFonts w:ascii="Helvetica" w:hAnsi="Helvetica" w:cs="Helvetica"/>
          <w:color w:val="000000"/>
          <w:sz w:val="22"/>
          <w:szCs w:val="22"/>
        </w:rPr>
        <w:t>epair services for such items as musical instruments, watches, clocks, small household appliances, toys or models, and similar devices</w:t>
      </w:r>
      <w:r>
        <w:rPr>
          <w:rFonts w:ascii="Helvetica" w:hAnsi="Helvetica" w:cs="Helvetica"/>
          <w:color w:val="000000"/>
          <w:sz w:val="22"/>
          <w:szCs w:val="22"/>
        </w:rPr>
        <w:t>.</w:t>
      </w:r>
    </w:p>
    <w:p w:rsidR="007B7530" w:rsidRDefault="007B7530" w:rsidP="007B753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  O</w:t>
      </w:r>
      <w:r w:rsidR="001F5751" w:rsidRPr="007B7530">
        <w:rPr>
          <w:rFonts w:ascii="Helvetica" w:hAnsi="Helvetica" w:cs="Helvetica"/>
          <w:color w:val="000000"/>
          <w:sz w:val="22"/>
          <w:szCs w:val="22"/>
        </w:rPr>
        <w:t xml:space="preserve">ffice of a salesman, sales representative or </w:t>
      </w:r>
      <w:r w:rsidR="00CB35AF" w:rsidRPr="007B7530">
        <w:rPr>
          <w:rFonts w:ascii="Helvetica" w:hAnsi="Helvetica" w:cs="Helvetica"/>
          <w:color w:val="000000"/>
          <w:sz w:val="22"/>
          <w:szCs w:val="22"/>
        </w:rPr>
        <w:t>manufacturer’s</w:t>
      </w:r>
      <w:r w:rsidR="001F5751" w:rsidRPr="007B7530">
        <w:rPr>
          <w:rFonts w:ascii="Helvetica" w:hAnsi="Helvetica" w:cs="Helvetica"/>
          <w:color w:val="000000"/>
          <w:sz w:val="22"/>
          <w:szCs w:val="22"/>
        </w:rPr>
        <w:t xml:space="preserve"> representative, consultant</w:t>
      </w:r>
      <w:r>
        <w:rPr>
          <w:rFonts w:ascii="Helvetica" w:hAnsi="Helvetica" w:cs="Helvetica"/>
          <w:color w:val="000000"/>
          <w:sz w:val="22"/>
          <w:szCs w:val="22"/>
        </w:rPr>
        <w:t>.</w:t>
      </w:r>
    </w:p>
    <w:p w:rsidR="007B7530" w:rsidRDefault="007B7530" w:rsidP="007B753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  O</w:t>
      </w:r>
      <w:r w:rsidR="001F5751" w:rsidRPr="007B7530">
        <w:rPr>
          <w:rFonts w:ascii="Helvetica" w:hAnsi="Helvetica" w:cs="Helvetica"/>
          <w:color w:val="000000"/>
          <w:sz w:val="22"/>
          <w:szCs w:val="22"/>
        </w:rPr>
        <w:t>ffice of an accountant, architect, bookkeeper, clerical service, computer programmer, dentist, arts and crafts instructor, lawyer, land surveyor, landscape architect, musician, physician, engineer, realto</w:t>
      </w:r>
      <w:r>
        <w:rPr>
          <w:rFonts w:ascii="Helvetica" w:hAnsi="Helvetica" w:cs="Helvetica"/>
          <w:color w:val="000000"/>
          <w:sz w:val="22"/>
          <w:szCs w:val="22"/>
        </w:rPr>
        <w:t xml:space="preserve">r, insurance agent or broker. </w:t>
      </w:r>
    </w:p>
    <w:p w:rsidR="007B7530" w:rsidRDefault="007B7530" w:rsidP="007B75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Pr="007B7530" w:rsidRDefault="001F5751" w:rsidP="007B75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sidRPr="007B7530">
        <w:rPr>
          <w:rFonts w:ascii="Helvetica" w:hAnsi="Helvetica" w:cs="Helvetica"/>
          <w:color w:val="000000"/>
          <w:sz w:val="22"/>
          <w:szCs w:val="22"/>
        </w:rPr>
        <w:t>None of those uses are allowed today in Seminary Hill.  They would be made possible in the future through the process of rezoning the planning staff appears to be endorsing.</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Be sure, that once this wall is breached, there well may be considerable interest on the part of developers and developer attorneys to seek out opportunities for increasing zoning densities on the 349.5 acres of instit</w:t>
      </w:r>
      <w:r w:rsidR="007B7530">
        <w:rPr>
          <w:rFonts w:ascii="Helvetica" w:hAnsi="Helvetica" w:cs="Helvetica"/>
          <w:color w:val="000000"/>
          <w:sz w:val="22"/>
          <w:szCs w:val="22"/>
        </w:rPr>
        <w:t xml:space="preserve">utional land in Seminary Hill. </w:t>
      </w:r>
      <w:r>
        <w:rPr>
          <w:rFonts w:ascii="Helvetica" w:hAnsi="Helvetica" w:cs="Helvetica"/>
          <w:color w:val="000000"/>
          <w:sz w:val="22"/>
          <w:szCs w:val="22"/>
        </w:rPr>
        <w:t xml:space="preserve"> Over time the character of Seminary Hill as a neighborhood of single family homes would be opened to being severely compromised.  For example, the </w:t>
      </w:r>
      <w:proofErr w:type="spellStart"/>
      <w:r>
        <w:rPr>
          <w:rFonts w:ascii="Helvetica" w:hAnsi="Helvetica" w:cs="Helvetica"/>
          <w:color w:val="000000"/>
          <w:sz w:val="22"/>
          <w:szCs w:val="22"/>
        </w:rPr>
        <w:t>Inova</w:t>
      </w:r>
      <w:proofErr w:type="spellEnd"/>
      <w:r>
        <w:rPr>
          <w:rFonts w:ascii="Helvetica" w:hAnsi="Helvetica" w:cs="Helvetica"/>
          <w:color w:val="000000"/>
          <w:sz w:val="22"/>
          <w:szCs w:val="22"/>
        </w:rPr>
        <w:t xml:space="preserve"> Hospital, in return for the 50 year scenic easement around the campus obtained by the neighbors, several years ago was allowed the density to build its most recent additions by rezoning its underlying residential zone from R-12 to R-8.  That change gave the hospital more FAR to expand.  That additional FAR now is virtually used up.  If allowed to go from R-8 to RB </w:t>
      </w:r>
      <w:proofErr w:type="spellStart"/>
      <w:r>
        <w:rPr>
          <w:rFonts w:ascii="Helvetica" w:hAnsi="Helvetica" w:cs="Helvetica"/>
          <w:color w:val="000000"/>
          <w:sz w:val="22"/>
          <w:szCs w:val="22"/>
        </w:rPr>
        <w:t>Inova</w:t>
      </w:r>
      <w:proofErr w:type="spellEnd"/>
      <w:r>
        <w:rPr>
          <w:rFonts w:ascii="Helvetica" w:hAnsi="Helvetica" w:cs="Helvetica"/>
          <w:color w:val="000000"/>
          <w:sz w:val="22"/>
          <w:szCs w:val="22"/>
        </w:rPr>
        <w:t xml:space="preserve"> could gain more density to build, for example, an adjacent nursing home or even return to the idea of a “Doctor’s Village.”  A clear precedent would be set if the Woodbine project is approved.</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2"/>
          <w:szCs w:val="22"/>
        </w:rPr>
      </w:pPr>
      <w:r>
        <w:rPr>
          <w:rFonts w:ascii="Helvetica" w:hAnsi="Helvetica" w:cs="Helvetica"/>
          <w:b/>
          <w:bCs/>
          <w:color w:val="000000"/>
          <w:sz w:val="22"/>
          <w:szCs w:val="22"/>
        </w:rPr>
        <w:t>Action Steps:</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I proposed that the Board of the Seminary Hill Association pass a resolution that opposes any rezoning to the King Street parcel on the grounds that: </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1. Such action is without precedent in the zoning history of Alexandria since the adoption of the 1992 Master Plan. </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2. It is an egregious example of “spot zoning” since the surrounding neighborhood is overwhelming residential.</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3. No zoning code definition exists of what is appropriate as an institutional use.  The Master Plan mentions explicitly only the four uses noted above. The staff cannot arbitrarily decide that a nursing home fits the institutional use without any documentation and without some provision in the zoning code or Master Plan making that use explicit.  To do otherwise is “arbitrary and capricious.”</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4. The Planning Commission in recent years has reaffirmed the status of the land as suitable for three homes and nothing has intruded to invalidate that decision.</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5.  The precedent set if this proposed rezoning is approved would have potentially harmful effects throughout the entire city and particularly in Seminary Hill.</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There may be other procedural arguments raised against the rezoning.  My suggestion is that we stay away from arguments based on whether or not there is a “need” for the </w:t>
      </w:r>
      <w:r>
        <w:rPr>
          <w:rFonts w:ascii="Helvetica" w:hAnsi="Helvetica" w:cs="Helvetica"/>
          <w:color w:val="000000"/>
          <w:sz w:val="22"/>
          <w:szCs w:val="22"/>
        </w:rPr>
        <w:lastRenderedPageBreak/>
        <w:t xml:space="preserve">facility since that involves topics in which Seminary Hill has limited expertise.  But we can weigh in on the zoning interpretations by staff.  The neighbors are considering challenging the staff decision and throwing the issues to the Board of Zoning Appeals.  It would halt the process, at least temporarily.  If the BZA fails to agree, it can be taken to the Circuit Court and, if required, to the Supreme Court of Virginia.  </w:t>
      </w: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rsidR="001F5751" w:rsidRDefault="001F5751" w:rsidP="001F57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I will present a resolution based on the material above at our SHA meeting on January 8 and hope for approval from the Seminary Hill Executive Board.</w:t>
      </w:r>
    </w:p>
    <w:sectPr w:rsidR="001F5751" w:rsidSect="00537216">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156" w:rsidRDefault="00960156" w:rsidP="001B54D5">
      <w:r>
        <w:separator/>
      </w:r>
    </w:p>
  </w:endnote>
  <w:endnote w:type="continuationSeparator" w:id="0">
    <w:p w:rsidR="00960156" w:rsidRDefault="00960156" w:rsidP="001B5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D5" w:rsidRDefault="001B54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862108"/>
      <w:docPartObj>
        <w:docPartGallery w:val="Page Numbers (Bottom of Page)"/>
        <w:docPartUnique/>
      </w:docPartObj>
    </w:sdtPr>
    <w:sdtEndPr>
      <w:rPr>
        <w:noProof/>
      </w:rPr>
    </w:sdtEndPr>
    <w:sdtContent>
      <w:p w:rsidR="001B54D5" w:rsidRDefault="001B54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bookmarkStart w:id="0" w:name="_GoBack" w:displacedByCustomXml="prev"/>
  <w:bookmarkEnd w:id="0" w:displacedByCustomXml="prev"/>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D5" w:rsidRDefault="001B54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156" w:rsidRDefault="00960156" w:rsidP="001B54D5">
      <w:r>
        <w:separator/>
      </w:r>
    </w:p>
  </w:footnote>
  <w:footnote w:type="continuationSeparator" w:id="0">
    <w:p w:rsidR="00960156" w:rsidRDefault="00960156" w:rsidP="001B54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D5" w:rsidRDefault="001B54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D5" w:rsidRDefault="001B54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D5" w:rsidRDefault="001B54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0B3D52"/>
    <w:multiLevelType w:val="hybridMultilevel"/>
    <w:tmpl w:val="58D43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751"/>
    <w:rsid w:val="001B54D5"/>
    <w:rsid w:val="001F5751"/>
    <w:rsid w:val="00240E68"/>
    <w:rsid w:val="007B7530"/>
    <w:rsid w:val="00960156"/>
    <w:rsid w:val="00CB35A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68BFA3-7695-4F64-BB09-B43F140A5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67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530"/>
    <w:pPr>
      <w:ind w:left="720"/>
      <w:contextualSpacing/>
    </w:pPr>
  </w:style>
  <w:style w:type="paragraph" w:styleId="Header">
    <w:name w:val="header"/>
    <w:basedOn w:val="Normal"/>
    <w:link w:val="HeaderChar"/>
    <w:uiPriority w:val="99"/>
    <w:unhideWhenUsed/>
    <w:rsid w:val="001B54D5"/>
    <w:pPr>
      <w:tabs>
        <w:tab w:val="center" w:pos="4680"/>
        <w:tab w:val="right" w:pos="9360"/>
      </w:tabs>
    </w:pPr>
  </w:style>
  <w:style w:type="character" w:customStyle="1" w:styleId="HeaderChar">
    <w:name w:val="Header Char"/>
    <w:basedOn w:val="DefaultParagraphFont"/>
    <w:link w:val="Header"/>
    <w:uiPriority w:val="99"/>
    <w:rsid w:val="001B54D5"/>
  </w:style>
  <w:style w:type="paragraph" w:styleId="Footer">
    <w:name w:val="footer"/>
    <w:basedOn w:val="Normal"/>
    <w:link w:val="FooterChar"/>
    <w:uiPriority w:val="99"/>
    <w:unhideWhenUsed/>
    <w:rsid w:val="001B54D5"/>
    <w:pPr>
      <w:tabs>
        <w:tab w:val="center" w:pos="4680"/>
        <w:tab w:val="right" w:pos="9360"/>
      </w:tabs>
    </w:pPr>
  </w:style>
  <w:style w:type="character" w:customStyle="1" w:styleId="FooterChar">
    <w:name w:val="Footer Char"/>
    <w:basedOn w:val="DefaultParagraphFont"/>
    <w:link w:val="Footer"/>
    <w:uiPriority w:val="99"/>
    <w:rsid w:val="001B5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1493</Words>
  <Characters>8512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Sullivan</dc:creator>
  <cp:keywords/>
  <cp:lastModifiedBy>Nancy Jennings</cp:lastModifiedBy>
  <cp:revision>5</cp:revision>
  <dcterms:created xsi:type="dcterms:W3CDTF">2015-01-01T23:09:00Z</dcterms:created>
  <dcterms:modified xsi:type="dcterms:W3CDTF">2015-01-01T23:14:00Z</dcterms:modified>
</cp:coreProperties>
</file>